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D51" w:rsidRPr="00354E06" w:rsidRDefault="001329EE">
      <w:pPr>
        <w:rPr>
          <w:rFonts w:ascii="Arial" w:hAnsi="Arial" w:cs="Arial"/>
          <w:lang w:val="ca-ES"/>
        </w:rPr>
      </w:pPr>
      <w:bookmarkStart w:id="0" w:name="_GoBack"/>
      <w:bookmarkEnd w:id="0"/>
      <w:r>
        <w:rPr>
          <w:rFonts w:ascii="Arial" w:hAnsi="Arial" w:cs="Arial"/>
          <w:b/>
          <w:noProof/>
          <w:lang w:eastAsia="es-ES"/>
        </w:rPr>
        <w:pict>
          <v:rect id="_x0000_s1026" style="position:absolute;margin-left:412.05pt;margin-top:-37.95pt;width:80.25pt;height:36pt;z-index:251658240">
            <v:textbox>
              <w:txbxContent>
                <w:p w:rsidR="001329EE" w:rsidRPr="001329EE" w:rsidRDefault="001329EE">
                  <w:pPr>
                    <w:rPr>
                      <w:rFonts w:ascii="Arial" w:hAnsi="Arial" w:cs="Arial"/>
                      <w:b/>
                      <w:sz w:val="28"/>
                      <w:szCs w:val="28"/>
                    </w:rPr>
                  </w:pPr>
                  <w:r w:rsidRPr="001329EE">
                    <w:rPr>
                      <w:rFonts w:ascii="Arial" w:hAnsi="Arial" w:cs="Arial"/>
                      <w:b/>
                      <w:sz w:val="28"/>
                      <w:szCs w:val="28"/>
                    </w:rPr>
                    <w:t>ANNEX 3</w:t>
                  </w:r>
                </w:p>
              </w:txbxContent>
            </v:textbox>
          </v:rect>
        </w:pict>
      </w:r>
      <w:r w:rsidR="006E4AE3" w:rsidRPr="00354E06">
        <w:rPr>
          <w:rFonts w:ascii="Arial" w:hAnsi="Arial" w:cs="Arial"/>
          <w:b/>
          <w:lang w:val="ca-ES"/>
        </w:rPr>
        <w:t xml:space="preserve">Proposta de calendari </w:t>
      </w:r>
      <w:r w:rsidR="00F53C53" w:rsidRPr="00354E06">
        <w:rPr>
          <w:rFonts w:ascii="Arial" w:hAnsi="Arial" w:cs="Arial"/>
          <w:b/>
          <w:lang w:val="ca-ES"/>
        </w:rPr>
        <w:t xml:space="preserve">i estructura d’horaris </w:t>
      </w:r>
      <w:r w:rsidR="006E4AE3" w:rsidRPr="00354E06">
        <w:rPr>
          <w:rFonts w:ascii="Arial" w:hAnsi="Arial" w:cs="Arial"/>
          <w:b/>
          <w:lang w:val="ca-ES"/>
        </w:rPr>
        <w:t>pel curs 2013-14</w:t>
      </w:r>
    </w:p>
    <w:p w:rsidR="006E4AE3" w:rsidRPr="00354E06" w:rsidRDefault="006E4AE3" w:rsidP="006E4AE3">
      <w:pPr>
        <w:jc w:val="center"/>
        <w:rPr>
          <w:rFonts w:ascii="Arial" w:hAnsi="Arial" w:cs="Arial"/>
          <w:lang w:val="ca-ES"/>
        </w:rPr>
      </w:pPr>
      <w:r w:rsidRPr="00354E06">
        <w:rPr>
          <w:noProof/>
          <w:lang w:eastAsia="es-ES"/>
        </w:rPr>
        <w:drawing>
          <wp:inline distT="0" distB="0" distL="0" distR="0">
            <wp:extent cx="4357688" cy="5334000"/>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57688" cy="5334000"/>
                    </a:xfrm>
                    <a:prstGeom prst="rect">
                      <a:avLst/>
                    </a:prstGeom>
                    <a:noFill/>
                    <a:ln>
                      <a:noFill/>
                    </a:ln>
                  </pic:spPr>
                </pic:pic>
              </a:graphicData>
            </a:graphic>
          </wp:inline>
        </w:drawing>
      </w:r>
    </w:p>
    <w:tbl>
      <w:tblPr>
        <w:tblW w:w="6220" w:type="dxa"/>
        <w:jc w:val="center"/>
        <w:tblInd w:w="55" w:type="dxa"/>
        <w:tblCellMar>
          <w:left w:w="70" w:type="dxa"/>
          <w:right w:w="70" w:type="dxa"/>
        </w:tblCellMar>
        <w:tblLook w:val="04A0"/>
      </w:tblPr>
      <w:tblGrid>
        <w:gridCol w:w="1167"/>
        <w:gridCol w:w="852"/>
        <w:gridCol w:w="971"/>
        <w:gridCol w:w="1182"/>
        <w:gridCol w:w="791"/>
        <w:gridCol w:w="1257"/>
      </w:tblGrid>
      <w:tr w:rsidR="006E4AE3" w:rsidRPr="00354E06" w:rsidTr="006E4AE3">
        <w:trPr>
          <w:trHeight w:val="255"/>
          <w:jc w:val="center"/>
        </w:trPr>
        <w:tc>
          <w:tcPr>
            <w:tcW w:w="62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OPCIÓ A: Inici dijous 12 de setembre de 2013</w:t>
            </w: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5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97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18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79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25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9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6E4AE3" w:rsidRPr="00354E06" w:rsidTr="006E4AE3">
        <w:trPr>
          <w:trHeight w:val="255"/>
          <w:jc w:val="center"/>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color w:val="00B050"/>
                <w:sz w:val="20"/>
                <w:szCs w:val="20"/>
                <w:lang w:val="ca-ES" w:eastAsia="es-ES"/>
              </w:rPr>
            </w:pPr>
            <w:r w:rsidRPr="00354E06">
              <w:rPr>
                <w:rFonts w:ascii="Arial" w:eastAsia="Times New Roman" w:hAnsi="Arial" w:cs="Arial"/>
                <w:b/>
                <w:bCs/>
                <w:color w:val="00B050"/>
                <w:sz w:val="20"/>
                <w:szCs w:val="20"/>
                <w:lang w:val="ca-ES" w:eastAsia="es-ES"/>
              </w:rPr>
              <w:t>15</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18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25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color w:val="FF0000"/>
                <w:sz w:val="20"/>
                <w:szCs w:val="20"/>
                <w:lang w:val="ca-ES" w:eastAsia="es-ES"/>
              </w:rPr>
            </w:pPr>
            <w:r w:rsidRPr="00354E06">
              <w:rPr>
                <w:rFonts w:ascii="Arial" w:eastAsia="Times New Roman" w:hAnsi="Arial" w:cs="Arial"/>
                <w:b/>
                <w:bCs/>
                <w:color w:val="FF0000"/>
                <w:sz w:val="20"/>
                <w:szCs w:val="20"/>
                <w:lang w:val="ca-ES" w:eastAsia="es-ES"/>
              </w:rPr>
              <w:t>13</w:t>
            </w:r>
          </w:p>
        </w:tc>
      </w:tr>
      <w:tr w:rsidR="006E4AE3" w:rsidRPr="00354E06" w:rsidTr="006E4AE3">
        <w:trPr>
          <w:trHeight w:val="255"/>
          <w:jc w:val="center"/>
        </w:trPr>
        <w:tc>
          <w:tcPr>
            <w:tcW w:w="1167" w:type="dxa"/>
            <w:tcBorders>
              <w:top w:val="nil"/>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8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5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p>
        </w:tc>
        <w:tc>
          <w:tcPr>
            <w:tcW w:w="85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97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118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79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125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505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362C46"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xml:space="preserve">GRAU: </w:t>
            </w:r>
            <w:r w:rsidR="006E4AE3" w:rsidRPr="00354E06">
              <w:rPr>
                <w:rFonts w:ascii="Arial" w:eastAsia="Times New Roman" w:hAnsi="Arial" w:cs="Arial"/>
                <w:sz w:val="20"/>
                <w:szCs w:val="20"/>
                <w:lang w:val="ca-ES" w:eastAsia="es-ES"/>
              </w:rPr>
              <w:t>Dilluns 9 de desembre amb horari de divendres</w:t>
            </w:r>
          </w:p>
        </w:tc>
      </w:tr>
      <w:tr w:rsidR="006E4AE3" w:rsidRPr="00354E06" w:rsidTr="006E4AE3">
        <w:trPr>
          <w:trHeight w:val="255"/>
          <w:jc w:val="center"/>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14</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18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25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14</w:t>
            </w:r>
          </w:p>
        </w:tc>
      </w:tr>
      <w:tr w:rsidR="006E4AE3" w:rsidRPr="00354E06" w:rsidTr="006E4AE3">
        <w:trPr>
          <w:trHeight w:val="255"/>
          <w:jc w:val="center"/>
        </w:trPr>
        <w:tc>
          <w:tcPr>
            <w:tcW w:w="1167" w:type="dxa"/>
            <w:tcBorders>
              <w:top w:val="nil"/>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8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5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bl>
    <w:p w:rsidR="006E4AE3" w:rsidRPr="00354E06" w:rsidRDefault="006E4AE3">
      <w:pPr>
        <w:rPr>
          <w:rFonts w:ascii="Arial" w:hAnsi="Arial" w:cs="Arial"/>
          <w:lang w:val="ca-ES"/>
        </w:rPr>
      </w:pPr>
    </w:p>
    <w:tbl>
      <w:tblPr>
        <w:tblW w:w="5940" w:type="dxa"/>
        <w:jc w:val="center"/>
        <w:tblInd w:w="55" w:type="dxa"/>
        <w:tblCellMar>
          <w:left w:w="70" w:type="dxa"/>
          <w:right w:w="70" w:type="dxa"/>
        </w:tblCellMar>
        <w:tblLook w:val="04A0"/>
      </w:tblPr>
      <w:tblGrid>
        <w:gridCol w:w="1114"/>
        <w:gridCol w:w="814"/>
        <w:gridCol w:w="927"/>
        <w:gridCol w:w="1128"/>
        <w:gridCol w:w="756"/>
        <w:gridCol w:w="1201"/>
      </w:tblGrid>
      <w:tr w:rsidR="006E4AE3" w:rsidRPr="00354E06" w:rsidTr="006E4AE3">
        <w:trPr>
          <w:trHeight w:val="255"/>
          <w:jc w:val="center"/>
        </w:trPr>
        <w:tc>
          <w:tcPr>
            <w:tcW w:w="594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OPCIÓ A: Inici dilluns 17 de febrer de 2014</w:t>
            </w:r>
          </w:p>
        </w:tc>
      </w:tr>
      <w:tr w:rsidR="006E4AE3" w:rsidRPr="00354E06" w:rsidTr="006E4AE3">
        <w:trPr>
          <w:trHeight w:val="255"/>
          <w:jc w:val="center"/>
        </w:trPr>
        <w:tc>
          <w:tcPr>
            <w:tcW w:w="11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92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12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756"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20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6E4AE3">
        <w:trPr>
          <w:trHeight w:val="255"/>
          <w:jc w:val="center"/>
        </w:trPr>
        <w:tc>
          <w:tcPr>
            <w:tcW w:w="11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27"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6E4AE3" w:rsidRPr="00354E06" w:rsidTr="006E4AE3">
        <w:trPr>
          <w:trHeight w:val="255"/>
          <w:jc w:val="center"/>
        </w:trPr>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14"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92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128"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756"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120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r>
      <w:tr w:rsidR="006E4AE3" w:rsidRPr="00354E06" w:rsidTr="006E4AE3">
        <w:trPr>
          <w:trHeight w:val="255"/>
          <w:jc w:val="center"/>
        </w:trPr>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14"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92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28"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756"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0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bl>
    <w:p w:rsidR="006E4AE3" w:rsidRPr="00354E06" w:rsidRDefault="006E4AE3">
      <w:pPr>
        <w:rPr>
          <w:rFonts w:ascii="Arial" w:hAnsi="Arial" w:cs="Arial"/>
          <w:lang w:val="ca-ES"/>
        </w:rPr>
      </w:pPr>
    </w:p>
    <w:p w:rsidR="00AB0145" w:rsidRPr="00354E06" w:rsidRDefault="00AB0145" w:rsidP="00AB0145">
      <w:pPr>
        <w:rPr>
          <w:rFonts w:ascii="Arial" w:hAnsi="Arial" w:cs="Arial"/>
          <w:lang w:val="ca-ES"/>
        </w:rPr>
      </w:pPr>
    </w:p>
    <w:p w:rsidR="00AB0145" w:rsidRPr="00354E06" w:rsidRDefault="00AB0145" w:rsidP="00AB0145">
      <w:pPr>
        <w:pStyle w:val="Pargrafdellista"/>
        <w:numPr>
          <w:ilvl w:val="0"/>
          <w:numId w:val="1"/>
        </w:numPr>
        <w:jc w:val="both"/>
        <w:rPr>
          <w:rFonts w:ascii="Arial" w:hAnsi="Arial" w:cs="Arial"/>
          <w:lang w:val="ca-ES"/>
        </w:rPr>
      </w:pPr>
      <w:r w:rsidRPr="00354E06">
        <w:rPr>
          <w:rFonts w:ascii="Arial" w:hAnsi="Arial" w:cs="Arial"/>
          <w:u w:val="single"/>
          <w:lang w:val="ca-ES"/>
        </w:rPr>
        <w:lastRenderedPageBreak/>
        <w:t>Primer quadrimestre (QT)</w:t>
      </w:r>
      <w:r w:rsidRPr="00354E06">
        <w:rPr>
          <w:rFonts w:ascii="Arial" w:hAnsi="Arial" w:cs="Arial"/>
          <w:lang w:val="ca-ES"/>
        </w:rPr>
        <w:t>:</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Dilluns i dijous es fan classes d’assignatures obligatòries (fins a 8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Dimarts es fan classes d’assignatures optatives (fins a 4 sessions d’una hora i mitja)</w:t>
      </w:r>
    </w:p>
    <w:tbl>
      <w:tblPr>
        <w:tblStyle w:val="Taulaambquadrcula"/>
        <w:tblW w:w="0" w:type="auto"/>
        <w:jc w:val="center"/>
        <w:tblLook w:val="04A0"/>
      </w:tblPr>
      <w:tblGrid>
        <w:gridCol w:w="1379"/>
        <w:gridCol w:w="1586"/>
        <w:gridCol w:w="1586"/>
        <w:gridCol w:w="1268"/>
        <w:gridCol w:w="1586"/>
        <w:gridCol w:w="1329"/>
      </w:tblGrid>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QT</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Dilluns</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Dimarts</w:t>
            </w:r>
          </w:p>
        </w:tc>
        <w:tc>
          <w:tcPr>
            <w:tcW w:w="1268" w:type="dxa"/>
          </w:tcPr>
          <w:p w:rsidR="00AB0145" w:rsidRPr="00354E06" w:rsidRDefault="00AB0145" w:rsidP="000D19C6">
            <w:pPr>
              <w:jc w:val="center"/>
              <w:rPr>
                <w:rFonts w:ascii="Arial" w:hAnsi="Arial" w:cs="Arial"/>
                <w:lang w:val="ca-ES"/>
              </w:rPr>
            </w:pPr>
            <w:r w:rsidRPr="00354E06">
              <w:rPr>
                <w:rFonts w:ascii="Arial" w:hAnsi="Arial" w:cs="Arial"/>
                <w:lang w:val="ca-ES"/>
              </w:rPr>
              <w:t>Dimecres</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Dijous</w:t>
            </w:r>
          </w:p>
        </w:tc>
        <w:tc>
          <w:tcPr>
            <w:tcW w:w="1329" w:type="dxa"/>
          </w:tcPr>
          <w:p w:rsidR="00AB0145" w:rsidRPr="00354E06" w:rsidRDefault="00AB0145" w:rsidP="000D19C6">
            <w:pPr>
              <w:jc w:val="center"/>
              <w:rPr>
                <w:rFonts w:ascii="Arial" w:hAnsi="Arial" w:cs="Arial"/>
                <w:lang w:val="ca-ES"/>
              </w:rPr>
            </w:pPr>
            <w:r w:rsidRPr="00354E06">
              <w:rPr>
                <w:rFonts w:ascii="Arial" w:hAnsi="Arial" w:cs="Arial"/>
                <w:lang w:val="ca-ES"/>
              </w:rPr>
              <w:t>Divendres</w:t>
            </w: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8 – 9:30</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9:30 – 11</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assignatures</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assignatures</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assignatures</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11 – 12:30</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obligatòries</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optatives</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obligatòries</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12:30 – 14</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p>
        </w:tc>
        <w:tc>
          <w:tcPr>
            <w:tcW w:w="1268" w:type="dxa"/>
          </w:tcPr>
          <w:p w:rsidR="00AB0145" w:rsidRPr="00354E06" w:rsidRDefault="00AB0145" w:rsidP="000D19C6">
            <w:pPr>
              <w:jc w:val="center"/>
              <w:rPr>
                <w:rFonts w:ascii="Arial" w:hAnsi="Arial" w:cs="Arial"/>
                <w:lang w:val="ca-ES"/>
              </w:rPr>
            </w:pP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p>
        </w:tc>
        <w:tc>
          <w:tcPr>
            <w:tcW w:w="1329" w:type="dxa"/>
          </w:tcPr>
          <w:p w:rsidR="00AB0145" w:rsidRPr="00354E06" w:rsidRDefault="00AB0145" w:rsidP="000D19C6">
            <w:pPr>
              <w:jc w:val="center"/>
              <w:rPr>
                <w:rFonts w:ascii="Arial" w:hAnsi="Arial" w:cs="Arial"/>
                <w:lang w:val="ca-ES"/>
              </w:rPr>
            </w:pPr>
          </w:p>
        </w:tc>
      </w:tr>
    </w:tbl>
    <w:p w:rsidR="00AB0145" w:rsidRPr="00354E06" w:rsidRDefault="00AB0145" w:rsidP="00AB0145">
      <w:pPr>
        <w:jc w:val="both"/>
        <w:rPr>
          <w:rFonts w:ascii="Arial" w:hAnsi="Arial" w:cs="Arial"/>
          <w:lang w:val="ca-ES"/>
        </w:rPr>
      </w:pPr>
    </w:p>
    <w:p w:rsidR="00AB0145" w:rsidRPr="00354E06" w:rsidRDefault="00AB0145" w:rsidP="00AB0145">
      <w:pPr>
        <w:pStyle w:val="Pargrafdellista"/>
        <w:numPr>
          <w:ilvl w:val="0"/>
          <w:numId w:val="1"/>
        </w:numPr>
        <w:jc w:val="both"/>
        <w:rPr>
          <w:rFonts w:ascii="Arial" w:hAnsi="Arial" w:cs="Arial"/>
          <w:lang w:val="ca-ES"/>
        </w:rPr>
      </w:pPr>
      <w:r w:rsidRPr="00354E06">
        <w:rPr>
          <w:rFonts w:ascii="Arial" w:hAnsi="Arial" w:cs="Arial"/>
          <w:u w:val="single"/>
          <w:lang w:val="ca-ES"/>
        </w:rPr>
        <w:t>Segon quadrimestre (QP)</w:t>
      </w:r>
      <w:r w:rsidRPr="00354E06">
        <w:rPr>
          <w:rFonts w:ascii="Arial" w:hAnsi="Arial" w:cs="Arial"/>
          <w:lang w:val="ca-ES"/>
        </w:rPr>
        <w:t>:</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Dilluns es fan classes d’assignatures obligatòries (fins a 4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Dimarts es fan classes d’assignatures optatives (fins a 4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Dijous és el dia reservat per tal que l’alumne faci activitats presencials relacionades amb el seu TFM. Evidentment, es pot adequar a l’especificitat de cadascun dels treballs, i a les disponibilitats tant de l’alumne com del professor director del TFM, però és important que l’alumne vegi plasmat en un horari l’equivalent d’hores presencials que hauria de dedicar al seu TFM, en comparació a la resta d’assignatures.</w:t>
      </w:r>
    </w:p>
    <w:tbl>
      <w:tblPr>
        <w:tblStyle w:val="Taulaambquadrcula"/>
        <w:tblW w:w="0" w:type="auto"/>
        <w:jc w:val="center"/>
        <w:tblLook w:val="04A0"/>
      </w:tblPr>
      <w:tblGrid>
        <w:gridCol w:w="1379"/>
        <w:gridCol w:w="1586"/>
        <w:gridCol w:w="1586"/>
        <w:gridCol w:w="1268"/>
        <w:gridCol w:w="1586"/>
        <w:gridCol w:w="1329"/>
      </w:tblGrid>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QP</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Dilluns</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Dimarts</w:t>
            </w:r>
          </w:p>
        </w:tc>
        <w:tc>
          <w:tcPr>
            <w:tcW w:w="1268" w:type="dxa"/>
          </w:tcPr>
          <w:p w:rsidR="00AB0145" w:rsidRPr="00354E06" w:rsidRDefault="00AB0145" w:rsidP="000D19C6">
            <w:pPr>
              <w:jc w:val="center"/>
              <w:rPr>
                <w:rFonts w:ascii="Arial" w:hAnsi="Arial" w:cs="Arial"/>
                <w:lang w:val="ca-ES"/>
              </w:rPr>
            </w:pPr>
            <w:r w:rsidRPr="00354E06">
              <w:rPr>
                <w:rFonts w:ascii="Arial" w:hAnsi="Arial" w:cs="Arial"/>
                <w:lang w:val="ca-ES"/>
              </w:rPr>
              <w:t>Dimecres</w:t>
            </w:r>
          </w:p>
        </w:tc>
        <w:tc>
          <w:tcPr>
            <w:tcW w:w="1586" w:type="dxa"/>
          </w:tcPr>
          <w:p w:rsidR="00AB0145" w:rsidRPr="00354E06" w:rsidRDefault="00AB0145" w:rsidP="000D19C6">
            <w:pPr>
              <w:jc w:val="center"/>
              <w:rPr>
                <w:rFonts w:ascii="Arial" w:hAnsi="Arial" w:cs="Arial"/>
                <w:lang w:val="ca-ES"/>
              </w:rPr>
            </w:pPr>
            <w:r w:rsidRPr="00354E06">
              <w:rPr>
                <w:rFonts w:ascii="Arial" w:hAnsi="Arial" w:cs="Arial"/>
                <w:lang w:val="ca-ES"/>
              </w:rPr>
              <w:t>Dijous</w:t>
            </w:r>
          </w:p>
        </w:tc>
        <w:tc>
          <w:tcPr>
            <w:tcW w:w="1329" w:type="dxa"/>
          </w:tcPr>
          <w:p w:rsidR="00AB0145" w:rsidRPr="00354E06" w:rsidRDefault="00AB0145" w:rsidP="000D19C6">
            <w:pPr>
              <w:jc w:val="center"/>
              <w:rPr>
                <w:rFonts w:ascii="Arial" w:hAnsi="Arial" w:cs="Arial"/>
                <w:lang w:val="ca-ES"/>
              </w:rPr>
            </w:pPr>
            <w:r w:rsidRPr="00354E06">
              <w:rPr>
                <w:rFonts w:ascii="Arial" w:hAnsi="Arial" w:cs="Arial"/>
                <w:lang w:val="ca-ES"/>
              </w:rPr>
              <w:t>Divendres</w:t>
            </w: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8 – 9:30</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FFFF00"/>
          </w:tcPr>
          <w:p w:rsidR="00AB0145" w:rsidRPr="00354E06" w:rsidRDefault="00AB0145" w:rsidP="000D19C6">
            <w:pPr>
              <w:jc w:val="center"/>
              <w:rPr>
                <w:rFonts w:ascii="Arial" w:hAnsi="Arial" w:cs="Arial"/>
                <w:lang w:val="ca-ES"/>
              </w:rPr>
            </w:pPr>
            <w:r w:rsidRPr="00354E06">
              <w:rPr>
                <w:rFonts w:ascii="Arial" w:hAnsi="Arial" w:cs="Arial"/>
                <w:lang w:val="ca-ES"/>
              </w:rPr>
              <w:t>Bloc</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9:30 – 11</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assignatures</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assignatures</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FFFF00"/>
          </w:tcPr>
          <w:p w:rsidR="00AB0145" w:rsidRPr="00354E06" w:rsidRDefault="00AB0145" w:rsidP="000D19C6">
            <w:pPr>
              <w:jc w:val="center"/>
              <w:rPr>
                <w:rFonts w:ascii="Arial" w:hAnsi="Arial" w:cs="Arial"/>
                <w:lang w:val="ca-ES"/>
              </w:rPr>
            </w:pPr>
            <w:r w:rsidRPr="00354E06">
              <w:rPr>
                <w:rFonts w:ascii="Arial" w:hAnsi="Arial" w:cs="Arial"/>
                <w:lang w:val="ca-ES"/>
              </w:rPr>
              <w:t>dedicació</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11 – 12:30</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r w:rsidRPr="00354E06">
              <w:rPr>
                <w:rFonts w:ascii="Arial" w:hAnsi="Arial" w:cs="Arial"/>
                <w:lang w:val="ca-ES"/>
              </w:rPr>
              <w:t>obligatòries</w:t>
            </w: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r w:rsidRPr="00354E06">
              <w:rPr>
                <w:rFonts w:ascii="Arial" w:hAnsi="Arial" w:cs="Arial"/>
                <w:lang w:val="ca-ES"/>
              </w:rPr>
              <w:t>optatives</w:t>
            </w:r>
          </w:p>
        </w:tc>
        <w:tc>
          <w:tcPr>
            <w:tcW w:w="1268" w:type="dxa"/>
          </w:tcPr>
          <w:p w:rsidR="00AB0145" w:rsidRPr="00354E06" w:rsidRDefault="00AB0145" w:rsidP="000D19C6">
            <w:pPr>
              <w:jc w:val="center"/>
              <w:rPr>
                <w:rFonts w:ascii="Arial" w:hAnsi="Arial" w:cs="Arial"/>
                <w:lang w:val="ca-ES"/>
              </w:rPr>
            </w:pPr>
          </w:p>
        </w:tc>
        <w:tc>
          <w:tcPr>
            <w:tcW w:w="1586" w:type="dxa"/>
            <w:shd w:val="clear" w:color="auto" w:fill="FFFF00"/>
          </w:tcPr>
          <w:p w:rsidR="00AB0145" w:rsidRPr="00354E06" w:rsidRDefault="00AB0145" w:rsidP="000D19C6">
            <w:pPr>
              <w:jc w:val="center"/>
              <w:rPr>
                <w:rFonts w:ascii="Arial" w:hAnsi="Arial" w:cs="Arial"/>
                <w:lang w:val="ca-ES"/>
              </w:rPr>
            </w:pPr>
            <w:r w:rsidRPr="00354E06">
              <w:rPr>
                <w:rFonts w:ascii="Arial" w:hAnsi="Arial" w:cs="Arial"/>
                <w:lang w:val="ca-ES"/>
              </w:rPr>
              <w:t>TFM</w:t>
            </w:r>
          </w:p>
        </w:tc>
        <w:tc>
          <w:tcPr>
            <w:tcW w:w="1329" w:type="dxa"/>
          </w:tcPr>
          <w:p w:rsidR="00AB0145" w:rsidRPr="00354E06" w:rsidRDefault="00AB0145" w:rsidP="000D19C6">
            <w:pPr>
              <w:jc w:val="center"/>
              <w:rPr>
                <w:rFonts w:ascii="Arial" w:hAnsi="Arial" w:cs="Arial"/>
                <w:lang w:val="ca-ES"/>
              </w:rPr>
            </w:pPr>
          </w:p>
        </w:tc>
      </w:tr>
      <w:tr w:rsidR="00AB0145" w:rsidRPr="00354E06" w:rsidTr="000D19C6">
        <w:trPr>
          <w:jc w:val="center"/>
        </w:trPr>
        <w:tc>
          <w:tcPr>
            <w:tcW w:w="1379" w:type="dxa"/>
          </w:tcPr>
          <w:p w:rsidR="00AB0145" w:rsidRPr="00354E06" w:rsidRDefault="00AB0145" w:rsidP="000D19C6">
            <w:pPr>
              <w:jc w:val="center"/>
              <w:rPr>
                <w:rFonts w:ascii="Arial" w:hAnsi="Arial" w:cs="Arial"/>
                <w:lang w:val="ca-ES"/>
              </w:rPr>
            </w:pPr>
            <w:r w:rsidRPr="00354E06">
              <w:rPr>
                <w:rFonts w:ascii="Arial" w:hAnsi="Arial" w:cs="Arial"/>
                <w:lang w:val="ca-ES"/>
              </w:rPr>
              <w:t>12:30 – 14</w:t>
            </w:r>
          </w:p>
        </w:tc>
        <w:tc>
          <w:tcPr>
            <w:tcW w:w="1586" w:type="dxa"/>
            <w:shd w:val="clear" w:color="auto" w:fill="92CDDC" w:themeFill="accent5" w:themeFillTint="99"/>
          </w:tcPr>
          <w:p w:rsidR="00AB0145" w:rsidRPr="00354E06" w:rsidRDefault="00AB0145" w:rsidP="000D19C6">
            <w:pPr>
              <w:jc w:val="center"/>
              <w:rPr>
                <w:rFonts w:ascii="Arial" w:hAnsi="Arial" w:cs="Arial"/>
                <w:lang w:val="ca-ES"/>
              </w:rPr>
            </w:pPr>
          </w:p>
        </w:tc>
        <w:tc>
          <w:tcPr>
            <w:tcW w:w="1586" w:type="dxa"/>
            <w:shd w:val="clear" w:color="auto" w:fill="E5B8B7" w:themeFill="accent2" w:themeFillTint="66"/>
          </w:tcPr>
          <w:p w:rsidR="00AB0145" w:rsidRPr="00354E06" w:rsidRDefault="00AB0145" w:rsidP="000D19C6">
            <w:pPr>
              <w:jc w:val="center"/>
              <w:rPr>
                <w:rFonts w:ascii="Arial" w:hAnsi="Arial" w:cs="Arial"/>
                <w:lang w:val="ca-ES"/>
              </w:rPr>
            </w:pPr>
          </w:p>
        </w:tc>
        <w:tc>
          <w:tcPr>
            <w:tcW w:w="1268" w:type="dxa"/>
          </w:tcPr>
          <w:p w:rsidR="00AB0145" w:rsidRPr="00354E06" w:rsidRDefault="00AB0145" w:rsidP="000D19C6">
            <w:pPr>
              <w:jc w:val="center"/>
              <w:rPr>
                <w:rFonts w:ascii="Arial" w:hAnsi="Arial" w:cs="Arial"/>
                <w:lang w:val="ca-ES"/>
              </w:rPr>
            </w:pPr>
          </w:p>
        </w:tc>
        <w:tc>
          <w:tcPr>
            <w:tcW w:w="1586" w:type="dxa"/>
            <w:shd w:val="clear" w:color="auto" w:fill="FFFF00"/>
          </w:tcPr>
          <w:p w:rsidR="00AB0145" w:rsidRPr="00354E06" w:rsidRDefault="00AB0145" w:rsidP="000D19C6">
            <w:pPr>
              <w:jc w:val="center"/>
              <w:rPr>
                <w:rFonts w:ascii="Arial" w:hAnsi="Arial" w:cs="Arial"/>
                <w:lang w:val="ca-ES"/>
              </w:rPr>
            </w:pPr>
          </w:p>
        </w:tc>
        <w:tc>
          <w:tcPr>
            <w:tcW w:w="1329" w:type="dxa"/>
          </w:tcPr>
          <w:p w:rsidR="00AB0145" w:rsidRPr="00354E06" w:rsidRDefault="00AB0145" w:rsidP="000D19C6">
            <w:pPr>
              <w:jc w:val="center"/>
              <w:rPr>
                <w:rFonts w:ascii="Arial" w:hAnsi="Arial" w:cs="Arial"/>
                <w:lang w:val="ca-ES"/>
              </w:rPr>
            </w:pPr>
          </w:p>
        </w:tc>
      </w:tr>
    </w:tbl>
    <w:p w:rsidR="00AB0145" w:rsidRPr="00354E06" w:rsidRDefault="00AB0145" w:rsidP="00AB0145">
      <w:pPr>
        <w:jc w:val="both"/>
        <w:rPr>
          <w:rFonts w:ascii="Arial" w:hAnsi="Arial" w:cs="Arial"/>
          <w:lang w:val="ca-ES"/>
        </w:rPr>
      </w:pPr>
    </w:p>
    <w:p w:rsidR="00AB0145" w:rsidRPr="00354E06" w:rsidRDefault="00AB0145">
      <w:pPr>
        <w:rPr>
          <w:rFonts w:ascii="Arial" w:hAnsi="Arial" w:cs="Arial"/>
          <w:lang w:val="ca-ES"/>
        </w:rPr>
      </w:pPr>
      <w:r w:rsidRPr="00354E06">
        <w:rPr>
          <w:rFonts w:ascii="Arial" w:hAnsi="Arial" w:cs="Arial"/>
          <w:lang w:val="ca-ES"/>
        </w:rPr>
        <w:br w:type="page"/>
      </w:r>
    </w:p>
    <w:p w:rsidR="006E4AE3" w:rsidRPr="00354E06" w:rsidRDefault="006E4AE3" w:rsidP="006E4AE3">
      <w:pPr>
        <w:jc w:val="center"/>
        <w:rPr>
          <w:rFonts w:ascii="Arial" w:hAnsi="Arial" w:cs="Arial"/>
          <w:b/>
          <w:u w:val="single"/>
          <w:lang w:val="ca-ES"/>
        </w:rPr>
      </w:pPr>
      <w:r w:rsidRPr="00354E06">
        <w:rPr>
          <w:rFonts w:ascii="Arial" w:hAnsi="Arial" w:cs="Arial"/>
          <w:b/>
          <w:u w:val="single"/>
          <w:lang w:val="ca-ES"/>
        </w:rPr>
        <w:lastRenderedPageBreak/>
        <w:t>MÀSTER EN OPTOMETRIA I CIÈNCIES DE LA VISIÓ</w:t>
      </w:r>
    </w:p>
    <w:tbl>
      <w:tblPr>
        <w:tblW w:w="7183" w:type="dxa"/>
        <w:jc w:val="center"/>
        <w:tblInd w:w="55" w:type="dxa"/>
        <w:tblCellMar>
          <w:left w:w="70" w:type="dxa"/>
          <w:right w:w="70" w:type="dxa"/>
        </w:tblCellMar>
        <w:tblLook w:val="04A0"/>
      </w:tblPr>
      <w:tblGrid>
        <w:gridCol w:w="1208"/>
        <w:gridCol w:w="363"/>
        <w:gridCol w:w="363"/>
        <w:gridCol w:w="363"/>
        <w:gridCol w:w="363"/>
        <w:gridCol w:w="363"/>
        <w:gridCol w:w="363"/>
        <w:gridCol w:w="274"/>
        <w:gridCol w:w="89"/>
        <w:gridCol w:w="363"/>
        <w:gridCol w:w="222"/>
        <w:gridCol w:w="141"/>
        <w:gridCol w:w="363"/>
        <w:gridCol w:w="26"/>
        <w:gridCol w:w="337"/>
        <w:gridCol w:w="193"/>
        <w:gridCol w:w="170"/>
        <w:gridCol w:w="363"/>
        <w:gridCol w:w="363"/>
        <w:gridCol w:w="167"/>
        <w:gridCol w:w="196"/>
        <w:gridCol w:w="404"/>
        <w:gridCol w:w="126"/>
      </w:tblGrid>
      <w:tr w:rsidR="006E4AE3" w:rsidRPr="00354E06" w:rsidTr="00DB12B7">
        <w:trPr>
          <w:gridAfter w:val="1"/>
          <w:wAfter w:w="129" w:type="dxa"/>
          <w:trHeight w:val="270"/>
          <w:jc w:val="center"/>
        </w:trPr>
        <w:tc>
          <w:tcPr>
            <w:tcW w:w="3660" w:type="dxa"/>
            <w:gridSpan w:val="8"/>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060"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660" w:type="dxa"/>
            <w:gridSpan w:val="6"/>
            <w:tcBorders>
              <w:top w:val="single" w:sz="8" w:space="0" w:color="auto"/>
              <w:left w:val="nil"/>
              <w:bottom w:val="nil"/>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r>
      <w:tr w:rsidR="006E4AE3" w:rsidRPr="00354E06" w:rsidTr="00DB12B7">
        <w:trPr>
          <w:gridAfter w:val="1"/>
          <w:wAfter w:w="129" w:type="dxa"/>
          <w:trHeight w:val="270"/>
          <w:jc w:val="center"/>
        </w:trPr>
        <w:tc>
          <w:tcPr>
            <w:tcW w:w="3660" w:type="dxa"/>
            <w:gridSpan w:val="8"/>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PRIMER QUADRIMESTRE</w:t>
            </w:r>
            <w:r w:rsidR="00AB0145" w:rsidRPr="00354E06">
              <w:rPr>
                <w:rFonts w:ascii="Arial" w:eastAsia="Times New Roman" w:hAnsi="Arial" w:cs="Arial"/>
                <w:b/>
                <w:bCs/>
                <w:sz w:val="20"/>
                <w:szCs w:val="20"/>
                <w:lang w:val="ca-ES" w:eastAsia="es-ES"/>
              </w:rPr>
              <w:t xml:space="preserve"> (QT)</w:t>
            </w:r>
          </w:p>
        </w:tc>
        <w:tc>
          <w:tcPr>
            <w:tcW w:w="674" w:type="dxa"/>
            <w:gridSpan w:val="3"/>
            <w:tcBorders>
              <w:top w:val="single" w:sz="8"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530"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600" w:type="dxa"/>
            <w:gridSpan w:val="2"/>
            <w:tcBorders>
              <w:top w:val="single" w:sz="4"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r>
      <w:tr w:rsidR="006E4AE3" w:rsidRPr="00354E06" w:rsidTr="00DB12B7">
        <w:trPr>
          <w:gridAfter w:val="1"/>
          <w:wAfter w:w="129"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Clínica Especialitzada</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1,7</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6,3</w:t>
            </w:r>
          </w:p>
        </w:tc>
        <w:tc>
          <w:tcPr>
            <w:tcW w:w="530"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15,3</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56,7</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72,0</w:t>
            </w:r>
          </w:p>
        </w:tc>
      </w:tr>
      <w:tr w:rsidR="006E4AE3" w:rsidRPr="00354E06" w:rsidTr="00DB12B7">
        <w:trPr>
          <w:gridAfter w:val="1"/>
          <w:wAfter w:w="129"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Tèc</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Aspec</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Optom</w:t>
            </w:r>
            <w:proofErr w:type="spellEnd"/>
            <w:r w:rsidRPr="00354E06">
              <w:rPr>
                <w:rFonts w:ascii="Arial" w:eastAsia="Times New Roman" w:hAnsi="Arial" w:cs="Arial"/>
                <w:sz w:val="20"/>
                <w:szCs w:val="20"/>
                <w:lang w:val="ca-ES" w:eastAsia="es-ES"/>
              </w:rPr>
              <w:t>. Cirurgia Ocular</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2,0</w:t>
            </w:r>
          </w:p>
        </w:tc>
        <w:tc>
          <w:tcPr>
            <w:tcW w:w="530"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18,0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29"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xml:space="preserve">Òptica </w:t>
            </w:r>
            <w:proofErr w:type="spellStart"/>
            <w:r w:rsidRPr="00354E06">
              <w:rPr>
                <w:rFonts w:ascii="Arial" w:eastAsia="Times New Roman" w:hAnsi="Arial" w:cs="Arial"/>
                <w:sz w:val="20"/>
                <w:szCs w:val="20"/>
                <w:lang w:val="ca-ES" w:eastAsia="es-ES"/>
              </w:rPr>
              <w:t>Instrum</w:t>
            </w:r>
            <w:proofErr w:type="spellEnd"/>
            <w:r w:rsidRPr="00354E06">
              <w:rPr>
                <w:rFonts w:ascii="Arial" w:eastAsia="Times New Roman" w:hAnsi="Arial" w:cs="Arial"/>
                <w:sz w:val="20"/>
                <w:szCs w:val="20"/>
                <w:lang w:val="ca-ES" w:eastAsia="es-ES"/>
              </w:rPr>
              <w:t>. Avanç. Atenció Visual</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4,5</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0"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25,7</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10,4</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DB12B7">
        <w:trPr>
          <w:gridAfter w:val="1"/>
          <w:wAfter w:w="129" w:type="dxa"/>
          <w:trHeight w:val="270"/>
          <w:jc w:val="center"/>
        </w:trPr>
        <w:tc>
          <w:tcPr>
            <w:tcW w:w="3660" w:type="dxa"/>
            <w:gridSpan w:val="8"/>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Mètodes de Recerca</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4,5</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30" w:type="dxa"/>
            <w:gridSpan w:val="2"/>
            <w:tcBorders>
              <w:top w:val="nil"/>
              <w:left w:val="nil"/>
              <w:bottom w:val="single" w:sz="8"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0" w:type="dxa"/>
            <w:gridSpan w:val="2"/>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25,7</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10,4</w:t>
            </w:r>
          </w:p>
        </w:tc>
        <w:tc>
          <w:tcPr>
            <w:tcW w:w="60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DB12B7">
        <w:trPr>
          <w:gridAfter w:val="1"/>
          <w:wAfter w:w="129"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29"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II</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29" w:type="dxa"/>
          <w:trHeight w:val="270"/>
          <w:jc w:val="center"/>
        </w:trPr>
        <w:tc>
          <w:tcPr>
            <w:tcW w:w="3660" w:type="dxa"/>
            <w:gridSpan w:val="8"/>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III</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8"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2"/>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29" w:type="dxa"/>
          <w:trHeight w:val="255"/>
          <w:jc w:val="center"/>
        </w:trPr>
        <w:tc>
          <w:tcPr>
            <w:tcW w:w="3660" w:type="dxa"/>
            <w:gridSpan w:val="8"/>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53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43,1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12,9</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157</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83,4</w:t>
            </w:r>
          </w:p>
        </w:tc>
        <w:tc>
          <w:tcPr>
            <w:tcW w:w="60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5445" w:type="dxa"/>
            <w:gridSpan w:val="20"/>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SETMANA</w:t>
            </w:r>
            <w:r w:rsidR="00DB12B7" w:rsidRPr="00354E06">
              <w:rPr>
                <w:rFonts w:ascii="Arial" w:eastAsia="Times New Roman" w:hAnsi="Arial" w:cs="Arial"/>
                <w:b/>
                <w:bCs/>
                <w:sz w:val="20"/>
                <w:szCs w:val="20"/>
                <w:lang w:val="ca-ES" w:eastAsia="es-ES"/>
              </w:rPr>
              <w:t xml:space="preserve"> (QT)</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5</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6</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7</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8</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9</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10</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13</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15</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72,0</w:t>
            </w: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DB12B7">
        <w:trPr>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Obligatòries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bl>
    <w:p w:rsidR="006E4AE3" w:rsidRPr="00354E06" w:rsidRDefault="006E4AE3">
      <w:pPr>
        <w:rPr>
          <w:rFonts w:ascii="Arial" w:hAnsi="Arial" w:cs="Arial"/>
          <w:lang w:val="ca-ES"/>
        </w:rPr>
      </w:pPr>
    </w:p>
    <w:tbl>
      <w:tblPr>
        <w:tblW w:w="7194" w:type="dxa"/>
        <w:jc w:val="center"/>
        <w:tblInd w:w="55" w:type="dxa"/>
        <w:tblCellMar>
          <w:left w:w="70" w:type="dxa"/>
          <w:right w:w="70" w:type="dxa"/>
        </w:tblCellMar>
        <w:tblLook w:val="04A0"/>
      </w:tblPr>
      <w:tblGrid>
        <w:gridCol w:w="1208"/>
        <w:gridCol w:w="363"/>
        <w:gridCol w:w="363"/>
        <w:gridCol w:w="363"/>
        <w:gridCol w:w="363"/>
        <w:gridCol w:w="363"/>
        <w:gridCol w:w="363"/>
        <w:gridCol w:w="363"/>
        <w:gridCol w:w="71"/>
        <w:gridCol w:w="292"/>
        <w:gridCol w:w="363"/>
        <w:gridCol w:w="19"/>
        <w:gridCol w:w="344"/>
        <w:gridCol w:w="176"/>
        <w:gridCol w:w="187"/>
        <w:gridCol w:w="333"/>
        <w:gridCol w:w="30"/>
        <w:gridCol w:w="363"/>
        <w:gridCol w:w="137"/>
        <w:gridCol w:w="226"/>
        <w:gridCol w:w="304"/>
        <w:gridCol w:w="59"/>
        <w:gridCol w:w="530"/>
        <w:gridCol w:w="11"/>
      </w:tblGrid>
      <w:tr w:rsidR="006E4AE3" w:rsidRPr="00354E06" w:rsidTr="00DB12B7">
        <w:trPr>
          <w:trHeight w:val="270"/>
          <w:jc w:val="center"/>
        </w:trPr>
        <w:tc>
          <w:tcPr>
            <w:tcW w:w="3820" w:type="dxa"/>
            <w:gridSpan w:val="9"/>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04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660" w:type="dxa"/>
            <w:gridSpan w:val="8"/>
            <w:tcBorders>
              <w:top w:val="single" w:sz="8" w:space="0" w:color="auto"/>
              <w:left w:val="nil"/>
              <w:bottom w:val="nil"/>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r>
      <w:tr w:rsidR="006E4AE3" w:rsidRPr="00354E06" w:rsidTr="00DB12B7">
        <w:trPr>
          <w:trHeight w:val="270"/>
          <w:jc w:val="center"/>
        </w:trPr>
        <w:tc>
          <w:tcPr>
            <w:tcW w:w="3820" w:type="dxa"/>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SEGON QUADRIMESTRE</w:t>
            </w:r>
            <w:r w:rsidR="00AB0145" w:rsidRPr="00354E06">
              <w:rPr>
                <w:rFonts w:ascii="Arial" w:eastAsia="Times New Roman" w:hAnsi="Arial" w:cs="Arial"/>
                <w:b/>
                <w:bCs/>
                <w:sz w:val="20"/>
                <w:szCs w:val="20"/>
                <w:lang w:val="ca-ES" w:eastAsia="es-ES"/>
              </w:rPr>
              <w:t xml:space="preserve"> (QP)</w:t>
            </w:r>
          </w:p>
        </w:tc>
        <w:tc>
          <w:tcPr>
            <w:tcW w:w="674" w:type="dxa"/>
            <w:gridSpan w:val="3"/>
            <w:tcBorders>
              <w:top w:val="single" w:sz="8"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530" w:type="dxa"/>
            <w:gridSpan w:val="3"/>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600" w:type="dxa"/>
            <w:gridSpan w:val="3"/>
            <w:tcBorders>
              <w:top w:val="single" w:sz="4"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Patologia Ocular i Tractaments</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Farmacovigilància</w:t>
            </w:r>
            <w:proofErr w:type="spellEnd"/>
            <w:r w:rsidRPr="00354E06">
              <w:rPr>
                <w:rFonts w:ascii="Arial" w:eastAsia="Times New Roman" w:hAnsi="Arial" w:cs="Arial"/>
                <w:sz w:val="20"/>
                <w:szCs w:val="20"/>
                <w:lang w:val="ca-ES" w:eastAsia="es-ES"/>
              </w:rPr>
              <w:t xml:space="preserve"> Ocular</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3,3</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4,7</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9,9</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14,1</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Mecan</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Neurofisiol</w:t>
            </w:r>
            <w:proofErr w:type="spellEnd"/>
            <w:r w:rsidRPr="00354E06">
              <w:rPr>
                <w:rFonts w:ascii="Arial" w:eastAsia="Times New Roman" w:hAnsi="Arial" w:cs="Arial"/>
                <w:sz w:val="20"/>
                <w:szCs w:val="20"/>
                <w:lang w:val="ca-ES" w:eastAsia="es-ES"/>
              </w:rPr>
              <w:t>. Models Avanç. Visió</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17,1</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6,9</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IV</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V</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VI</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Treball Final de Màster</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12</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r>
      <w:tr w:rsidR="006E4AE3" w:rsidRPr="00354E06" w:rsidTr="00DB12B7">
        <w:trPr>
          <w:trHeight w:val="255"/>
          <w:jc w:val="center"/>
        </w:trPr>
        <w:tc>
          <w:tcPr>
            <w:tcW w:w="3820" w:type="dxa"/>
            <w:gridSpan w:val="9"/>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52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49</w:t>
            </w:r>
          </w:p>
        </w:tc>
        <w:tc>
          <w:tcPr>
            <w:tcW w:w="52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53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219</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21</w:t>
            </w:r>
          </w:p>
        </w:tc>
        <w:tc>
          <w:tcPr>
            <w:tcW w:w="60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5445" w:type="dxa"/>
            <w:gridSpan w:val="21"/>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SETMANA</w:t>
            </w:r>
            <w:r w:rsidR="00DB12B7" w:rsidRPr="00354E06">
              <w:rPr>
                <w:rFonts w:ascii="Arial" w:eastAsia="Times New Roman" w:hAnsi="Arial" w:cs="Arial"/>
                <w:b/>
                <w:bCs/>
                <w:sz w:val="20"/>
                <w:szCs w:val="20"/>
                <w:lang w:val="ca-ES" w:eastAsia="es-ES"/>
              </w:rPr>
              <w:t xml:space="preserve"> (QP)</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5</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6</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7</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8</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9</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10</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13</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15</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Obligatòries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Obl</w:t>
            </w:r>
            <w:proofErr w:type="spellEnd"/>
            <w:r w:rsidRPr="00354E06">
              <w:rPr>
                <w:rFonts w:ascii="Arial" w:eastAsia="Times New Roman" w:hAnsi="Arial" w:cs="Arial"/>
                <w:sz w:val="20"/>
                <w:szCs w:val="20"/>
                <w:lang w:val="ca-ES" w:eastAsia="es-ES"/>
              </w:rPr>
              <w:t>+</w:t>
            </w:r>
            <w:proofErr w:type="spellStart"/>
            <w:r w:rsidRPr="00354E06">
              <w:rPr>
                <w:rFonts w:ascii="Arial" w:eastAsia="Times New Roman" w:hAnsi="Arial" w:cs="Arial"/>
                <w:sz w:val="20"/>
                <w:szCs w:val="20"/>
                <w:lang w:val="ca-ES" w:eastAsia="es-ES"/>
              </w:rPr>
              <w:t>Opt</w:t>
            </w:r>
            <w:proofErr w:type="spellEnd"/>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TFM</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bl>
    <w:p w:rsidR="00093BE5" w:rsidRPr="00354E06" w:rsidRDefault="00093BE5" w:rsidP="00093BE5">
      <w:pPr>
        <w:jc w:val="both"/>
        <w:rPr>
          <w:rFonts w:ascii="Arial" w:hAnsi="Arial" w:cs="Arial"/>
          <w:lang w:val="ca-ES"/>
        </w:rPr>
      </w:pPr>
    </w:p>
    <w:p w:rsidR="00AB0145" w:rsidRPr="00354E06" w:rsidRDefault="00AB0145" w:rsidP="00093BE5">
      <w:pPr>
        <w:jc w:val="both"/>
        <w:rPr>
          <w:rFonts w:ascii="Arial" w:hAnsi="Arial" w:cs="Arial"/>
          <w:lang w:val="ca-ES"/>
        </w:rPr>
      </w:pPr>
    </w:p>
    <w:p w:rsidR="00AB0145" w:rsidRPr="00354E06" w:rsidRDefault="00AB0145" w:rsidP="00AB0145">
      <w:pPr>
        <w:jc w:val="center"/>
        <w:rPr>
          <w:rFonts w:ascii="Arial" w:hAnsi="Arial" w:cs="Arial"/>
          <w:b/>
          <w:u w:val="single"/>
          <w:lang w:val="ca-ES"/>
        </w:rPr>
      </w:pPr>
      <w:r w:rsidRPr="00354E06">
        <w:rPr>
          <w:rFonts w:ascii="Arial" w:hAnsi="Arial" w:cs="Arial"/>
          <w:b/>
          <w:u w:val="single"/>
          <w:lang w:val="ca-ES"/>
        </w:rPr>
        <w:lastRenderedPageBreak/>
        <w:t>GRAU EN ÒPTICA I OPTOMETRIA</w:t>
      </w:r>
    </w:p>
    <w:p w:rsidR="00AB0145" w:rsidRPr="00354E06" w:rsidRDefault="00AB0145" w:rsidP="00093BE5">
      <w:pPr>
        <w:jc w:val="both"/>
        <w:rPr>
          <w:rFonts w:ascii="Arial" w:hAnsi="Arial" w:cs="Arial"/>
          <w:lang w:val="ca-ES"/>
        </w:rPr>
      </w:pPr>
    </w:p>
    <w:p w:rsidR="00AB0145" w:rsidRPr="00354E06" w:rsidRDefault="00AB0145" w:rsidP="00F53C53">
      <w:pPr>
        <w:pStyle w:val="Pargrafdellista"/>
        <w:numPr>
          <w:ilvl w:val="0"/>
          <w:numId w:val="1"/>
        </w:numPr>
        <w:jc w:val="both"/>
        <w:rPr>
          <w:rFonts w:ascii="Arial" w:hAnsi="Arial" w:cs="Arial"/>
          <w:lang w:val="ca-ES"/>
        </w:rPr>
      </w:pPr>
      <w:r w:rsidRPr="00354E06">
        <w:rPr>
          <w:rFonts w:ascii="Arial" w:hAnsi="Arial" w:cs="Arial"/>
          <w:lang w:val="ca-ES"/>
        </w:rPr>
        <w:t xml:space="preserve">El calendari preveu disposar de 15 setmanes de classes presencials, i dues setmanes més per la realització </w:t>
      </w:r>
      <w:r w:rsidR="00F53C53" w:rsidRPr="00354E06">
        <w:rPr>
          <w:rFonts w:ascii="Arial" w:hAnsi="Arial" w:cs="Arial"/>
          <w:lang w:val="ca-ES"/>
        </w:rPr>
        <w:t>dels exàmens finals de les assignatures.</w:t>
      </w:r>
    </w:p>
    <w:p w:rsidR="00F53C53" w:rsidRDefault="00F53C53" w:rsidP="00F53C53">
      <w:pPr>
        <w:pStyle w:val="Pargrafdellista"/>
        <w:numPr>
          <w:ilvl w:val="0"/>
          <w:numId w:val="1"/>
        </w:numPr>
        <w:jc w:val="both"/>
        <w:rPr>
          <w:rFonts w:ascii="Arial" w:hAnsi="Arial" w:cs="Arial"/>
          <w:lang w:val="ca-ES"/>
        </w:rPr>
      </w:pPr>
      <w:r w:rsidRPr="00354E06">
        <w:rPr>
          <w:rFonts w:ascii="Arial" w:hAnsi="Arial" w:cs="Arial"/>
          <w:lang w:val="ca-ES"/>
        </w:rPr>
        <w:t xml:space="preserve">Tots els dies de la setmana, de dilluns a divendres, tenen 14 o 15 dies en cadascun dels quadrimestres de l’any. Per </w:t>
      </w:r>
      <w:r w:rsidR="00354E06" w:rsidRPr="00354E06">
        <w:rPr>
          <w:rFonts w:ascii="Arial" w:hAnsi="Arial" w:cs="Arial"/>
          <w:lang w:val="ca-ES"/>
        </w:rPr>
        <w:t>tal de complir aquesta estructura cal que al quadrimestre de tardor (QT) un dilluns (el més adient és el 9 de desembre de 2013) tingui horari de divendres. En cas contrari, les assignatures dels divendres només tindrien 13 classes assegurades, en lloc del mínim de 14.</w:t>
      </w:r>
    </w:p>
    <w:p w:rsidR="00354E06" w:rsidRPr="00354E06" w:rsidRDefault="00354E06" w:rsidP="00F53C53">
      <w:pPr>
        <w:pStyle w:val="Pargrafdellista"/>
        <w:numPr>
          <w:ilvl w:val="0"/>
          <w:numId w:val="1"/>
        </w:numPr>
        <w:jc w:val="both"/>
        <w:rPr>
          <w:rFonts w:ascii="Arial" w:hAnsi="Arial" w:cs="Arial"/>
          <w:lang w:val="ca-ES"/>
        </w:rPr>
      </w:pPr>
      <w:r>
        <w:rPr>
          <w:rFonts w:ascii="Arial" w:hAnsi="Arial" w:cs="Arial"/>
          <w:lang w:val="ca-ES"/>
        </w:rPr>
        <w:t>Tenint en compte que cada ECTS té associades 10 hores de classes presencials (teoria, pràctiques, laboratori</w:t>
      </w:r>
      <w:r w:rsidR="00246232">
        <w:rPr>
          <w:rFonts w:ascii="Arial" w:hAnsi="Arial" w:cs="Arial"/>
          <w:lang w:val="ca-ES"/>
        </w:rPr>
        <w:t>s</w:t>
      </w:r>
      <w:r>
        <w:rPr>
          <w:rFonts w:ascii="Arial" w:hAnsi="Arial" w:cs="Arial"/>
          <w:lang w:val="ca-ES"/>
        </w:rPr>
        <w:t>, seminaris i avaluacions), en una estructura de calendari de 15 setmanes, els horaris han de preveure les següents hores setmana</w:t>
      </w:r>
      <w:r w:rsidR="00246232">
        <w:rPr>
          <w:rFonts w:ascii="Arial" w:hAnsi="Arial" w:cs="Arial"/>
          <w:lang w:val="ca-ES"/>
        </w:rPr>
        <w:t>ls de classes, segons el nombre d’ECTS de cada assignatura:</w:t>
      </w:r>
    </w:p>
    <w:tbl>
      <w:tblPr>
        <w:tblW w:w="7127" w:type="dxa"/>
        <w:jc w:val="center"/>
        <w:tblInd w:w="55" w:type="dxa"/>
        <w:tblCellMar>
          <w:left w:w="70" w:type="dxa"/>
          <w:right w:w="70" w:type="dxa"/>
        </w:tblCellMar>
        <w:tblLook w:val="04A0"/>
      </w:tblPr>
      <w:tblGrid>
        <w:gridCol w:w="2086"/>
        <w:gridCol w:w="1000"/>
        <w:gridCol w:w="1000"/>
        <w:gridCol w:w="1000"/>
        <w:gridCol w:w="1041"/>
        <w:gridCol w:w="1000"/>
      </w:tblGrid>
      <w:tr w:rsidR="00354E06" w:rsidRPr="00354E06" w:rsidTr="00354E06">
        <w:trPr>
          <w:trHeight w:val="255"/>
          <w:jc w:val="center"/>
        </w:trPr>
        <w:tc>
          <w:tcPr>
            <w:tcW w:w="2086"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1000"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c>
          <w:tcPr>
            <w:tcW w:w="1041"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Setmanes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xml:space="preserve">h / </w:t>
            </w:r>
            <w:proofErr w:type="spellStart"/>
            <w:r w:rsidRPr="00354E06">
              <w:rPr>
                <w:rFonts w:ascii="Arial" w:eastAsia="Times New Roman" w:hAnsi="Arial" w:cs="Arial"/>
                <w:sz w:val="20"/>
                <w:szCs w:val="20"/>
                <w:lang w:val="ca-ES" w:eastAsia="es-ES"/>
              </w:rPr>
              <w:t>setm</w:t>
            </w:r>
            <w:proofErr w:type="spellEnd"/>
            <w:r w:rsidRPr="00354E06">
              <w:rPr>
                <w:rFonts w:ascii="Arial" w:eastAsia="Times New Roman" w:hAnsi="Arial" w:cs="Arial"/>
                <w:sz w:val="20"/>
                <w:szCs w:val="20"/>
                <w:lang w:val="ca-ES" w:eastAsia="es-ES"/>
              </w:rPr>
              <w:t>.</w:t>
            </w:r>
          </w:p>
        </w:tc>
      </w:tr>
      <w:tr w:rsidR="00354E06" w:rsidRPr="00354E06" w:rsidTr="00354E06">
        <w:trPr>
          <w:trHeight w:val="255"/>
          <w:jc w:val="center"/>
        </w:trPr>
        <w:tc>
          <w:tcPr>
            <w:tcW w:w="2086" w:type="dxa"/>
            <w:tcBorders>
              <w:top w:val="single" w:sz="4" w:space="0" w:color="auto"/>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w:t>
            </w:r>
          </w:p>
        </w:tc>
        <w:tc>
          <w:tcPr>
            <w:tcW w:w="1000" w:type="dxa"/>
            <w:tcBorders>
              <w:top w:val="single" w:sz="4" w:space="0" w:color="auto"/>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90</w:t>
            </w:r>
          </w:p>
        </w:tc>
        <w:tc>
          <w:tcPr>
            <w:tcW w:w="1041"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Grau</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7,5</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75</w:t>
            </w:r>
          </w:p>
        </w:tc>
        <w:tc>
          <w:tcPr>
            <w:tcW w:w="1041"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1041" w:type="dxa"/>
            <w:tcBorders>
              <w:top w:val="nil"/>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1041" w:type="dxa"/>
            <w:tcBorders>
              <w:top w:val="nil"/>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r w:rsidR="00354E06" w:rsidRPr="00354E06" w:rsidTr="00354E06">
        <w:trPr>
          <w:trHeight w:val="255"/>
          <w:jc w:val="center"/>
        </w:trPr>
        <w:tc>
          <w:tcPr>
            <w:tcW w:w="2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Total Quadrimestre</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30</w:t>
            </w:r>
          </w:p>
        </w:tc>
        <w:tc>
          <w:tcPr>
            <w:tcW w:w="1000" w:type="dxa"/>
            <w:tcBorders>
              <w:top w:val="nil"/>
              <w:left w:val="nil"/>
              <w:bottom w:val="single" w:sz="4" w:space="0" w:color="auto"/>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300</w:t>
            </w:r>
          </w:p>
        </w:tc>
        <w:tc>
          <w:tcPr>
            <w:tcW w:w="1041"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20</w:t>
            </w:r>
          </w:p>
        </w:tc>
      </w:tr>
    </w:tbl>
    <w:p w:rsidR="00354E06" w:rsidRPr="00354E06" w:rsidRDefault="00354E06" w:rsidP="00354E06">
      <w:pPr>
        <w:jc w:val="both"/>
        <w:rPr>
          <w:rFonts w:ascii="Arial" w:hAnsi="Arial" w:cs="Arial"/>
          <w:lang w:val="ca-ES"/>
        </w:rPr>
      </w:pPr>
    </w:p>
    <w:p w:rsidR="00F53C53" w:rsidRPr="00354E06" w:rsidRDefault="00F53C53" w:rsidP="00093BE5">
      <w:pPr>
        <w:jc w:val="both"/>
        <w:rPr>
          <w:rFonts w:ascii="Arial" w:hAnsi="Arial" w:cs="Arial"/>
          <w:lang w:val="ca-ES"/>
        </w:rPr>
      </w:pPr>
    </w:p>
    <w:sectPr w:rsidR="00F53C53" w:rsidRPr="00354E06" w:rsidSect="006E4AE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97C04"/>
    <w:multiLevelType w:val="hybridMultilevel"/>
    <w:tmpl w:val="D35C2F2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4AE3"/>
    <w:rsid w:val="00093BE5"/>
    <w:rsid w:val="001329EE"/>
    <w:rsid w:val="00216D51"/>
    <w:rsid w:val="00246232"/>
    <w:rsid w:val="00287C11"/>
    <w:rsid w:val="00354E06"/>
    <w:rsid w:val="00362C46"/>
    <w:rsid w:val="006E4AE3"/>
    <w:rsid w:val="009D4B3F"/>
    <w:rsid w:val="00AB0145"/>
    <w:rsid w:val="00DB12B7"/>
    <w:rsid w:val="00F53C53"/>
    <w:rsid w:val="00F620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C11"/>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unhideWhenUsed/>
    <w:rsid w:val="006E4AE3"/>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E4AE3"/>
    <w:rPr>
      <w:rFonts w:ascii="Tahoma" w:hAnsi="Tahoma" w:cs="Tahoma"/>
      <w:sz w:val="16"/>
      <w:szCs w:val="16"/>
    </w:rPr>
  </w:style>
  <w:style w:type="table" w:styleId="Taulaambquadrcula">
    <w:name w:val="Table Grid"/>
    <w:basedOn w:val="Taulanormal"/>
    <w:uiPriority w:val="59"/>
    <w:rsid w:val="00DB1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dellista">
    <w:name w:val="List Paragraph"/>
    <w:basedOn w:val="Normal"/>
    <w:uiPriority w:val="34"/>
    <w:qFormat/>
    <w:rsid w:val="00362C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E4A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AE3"/>
    <w:rPr>
      <w:rFonts w:ascii="Tahoma" w:hAnsi="Tahoma" w:cs="Tahoma"/>
      <w:sz w:val="16"/>
      <w:szCs w:val="16"/>
    </w:rPr>
  </w:style>
  <w:style w:type="table" w:styleId="Tablaconcuadrcula">
    <w:name w:val="Table Grid"/>
    <w:basedOn w:val="Tablanormal"/>
    <w:uiPriority w:val="59"/>
    <w:rsid w:val="00DB1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62C46"/>
    <w:pPr>
      <w:ind w:left="720"/>
      <w:contextualSpacing/>
    </w:pPr>
  </w:style>
</w:styles>
</file>

<file path=word/webSettings.xml><?xml version="1.0" encoding="utf-8"?>
<w:webSettings xmlns:r="http://schemas.openxmlformats.org/officeDocument/2006/relationships" xmlns:w="http://schemas.openxmlformats.org/wordprocessingml/2006/main">
  <w:divs>
    <w:div w:id="291180951">
      <w:bodyDiv w:val="1"/>
      <w:marLeft w:val="0"/>
      <w:marRight w:val="0"/>
      <w:marTop w:val="0"/>
      <w:marBottom w:val="0"/>
      <w:divBdr>
        <w:top w:val="none" w:sz="0" w:space="0" w:color="auto"/>
        <w:left w:val="none" w:sz="0" w:space="0" w:color="auto"/>
        <w:bottom w:val="none" w:sz="0" w:space="0" w:color="auto"/>
        <w:right w:val="none" w:sz="0" w:space="0" w:color="auto"/>
      </w:divBdr>
    </w:div>
    <w:div w:id="540217010">
      <w:bodyDiv w:val="1"/>
      <w:marLeft w:val="0"/>
      <w:marRight w:val="0"/>
      <w:marTop w:val="0"/>
      <w:marBottom w:val="0"/>
      <w:divBdr>
        <w:top w:val="none" w:sz="0" w:space="0" w:color="auto"/>
        <w:left w:val="none" w:sz="0" w:space="0" w:color="auto"/>
        <w:bottom w:val="none" w:sz="0" w:space="0" w:color="auto"/>
        <w:right w:val="none" w:sz="0" w:space="0" w:color="auto"/>
      </w:divBdr>
    </w:div>
    <w:div w:id="1253469406">
      <w:bodyDiv w:val="1"/>
      <w:marLeft w:val="0"/>
      <w:marRight w:val="0"/>
      <w:marTop w:val="0"/>
      <w:marBottom w:val="0"/>
      <w:divBdr>
        <w:top w:val="none" w:sz="0" w:space="0" w:color="auto"/>
        <w:left w:val="none" w:sz="0" w:space="0" w:color="auto"/>
        <w:bottom w:val="none" w:sz="0" w:space="0" w:color="auto"/>
        <w:right w:val="none" w:sz="0" w:space="0" w:color="auto"/>
      </w:divBdr>
    </w:div>
    <w:div w:id="1255743226">
      <w:bodyDiv w:val="1"/>
      <w:marLeft w:val="0"/>
      <w:marRight w:val="0"/>
      <w:marTop w:val="0"/>
      <w:marBottom w:val="0"/>
      <w:divBdr>
        <w:top w:val="none" w:sz="0" w:space="0" w:color="auto"/>
        <w:left w:val="none" w:sz="0" w:space="0" w:color="auto"/>
        <w:bottom w:val="none" w:sz="0" w:space="0" w:color="auto"/>
        <w:right w:val="none" w:sz="0" w:space="0" w:color="auto"/>
      </w:divBdr>
    </w:div>
    <w:div w:id="1444348092">
      <w:bodyDiv w:val="1"/>
      <w:marLeft w:val="0"/>
      <w:marRight w:val="0"/>
      <w:marTop w:val="0"/>
      <w:marBottom w:val="0"/>
      <w:divBdr>
        <w:top w:val="none" w:sz="0" w:space="0" w:color="auto"/>
        <w:left w:val="none" w:sz="0" w:space="0" w:color="auto"/>
        <w:bottom w:val="none" w:sz="0" w:space="0" w:color="auto"/>
        <w:right w:val="none" w:sz="0" w:space="0" w:color="auto"/>
      </w:divBdr>
    </w:div>
    <w:div w:id="1691755729">
      <w:bodyDiv w:val="1"/>
      <w:marLeft w:val="0"/>
      <w:marRight w:val="0"/>
      <w:marTop w:val="0"/>
      <w:marBottom w:val="0"/>
      <w:divBdr>
        <w:top w:val="none" w:sz="0" w:space="0" w:color="auto"/>
        <w:left w:val="none" w:sz="0" w:space="0" w:color="auto"/>
        <w:bottom w:val="none" w:sz="0" w:space="0" w:color="auto"/>
        <w:right w:val="none" w:sz="0" w:space="0" w:color="auto"/>
      </w:divBdr>
    </w:div>
    <w:div w:id="1840341623">
      <w:bodyDiv w:val="1"/>
      <w:marLeft w:val="0"/>
      <w:marRight w:val="0"/>
      <w:marTop w:val="0"/>
      <w:marBottom w:val="0"/>
      <w:divBdr>
        <w:top w:val="none" w:sz="0" w:space="0" w:color="auto"/>
        <w:left w:val="none" w:sz="0" w:space="0" w:color="auto"/>
        <w:bottom w:val="none" w:sz="0" w:space="0" w:color="auto"/>
        <w:right w:val="none" w:sz="0" w:space="0" w:color="auto"/>
      </w:divBdr>
    </w:div>
    <w:div w:id="213008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698</Words>
  <Characters>3843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 - JOSE LUIS ALVAREZ</dc:creator>
  <cp:lastModifiedBy>UPCnet</cp:lastModifiedBy>
  <cp:revision>4</cp:revision>
  <cp:lastPrinted>2013-06-18T10:10:00Z</cp:lastPrinted>
  <dcterms:created xsi:type="dcterms:W3CDTF">2013-05-22T07:03:00Z</dcterms:created>
  <dcterms:modified xsi:type="dcterms:W3CDTF">2013-06-18T10:11:00Z</dcterms:modified>
</cp:coreProperties>
</file>